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Written Self-Assessment Form</w:t>
      </w:r>
      <w:r w:rsidDel="00000000" w:rsidR="00000000" w:rsidRPr="00000000">
        <w:rPr>
          <w:rtl w:val="0"/>
        </w:rPr>
      </w:r>
    </w:p>
    <w:p w:rsidR="00000000" w:rsidDel="00000000" w:rsidP="00000000" w:rsidRDefault="00000000" w:rsidRPr="00000000" w14:paraId="00000002">
      <w:pPr>
        <w:rPr>
          <w:rFonts w:ascii="Arial" w:cs="Arial" w:eastAsia="Arial" w:hAnsi="Arial"/>
          <w:sz w:val="20"/>
          <w:szCs w:val="20"/>
        </w:rPr>
      </w:pPr>
      <w:r w:rsidDel="00000000" w:rsidR="00000000" w:rsidRPr="00000000">
        <w:rPr>
          <w:rFonts w:ascii="Arial" w:cs="Arial" w:eastAsia="Arial" w:hAnsi="Arial"/>
          <w:sz w:val="20"/>
          <w:szCs w:val="20"/>
          <w:rtl w:val="0"/>
        </w:rPr>
        <w:t xml:space="preserve">The Best CX Experience (Customer Experience) category is designed to honor organisations that have transformed the way they interact with and support their customers. It focuses on the strategic use of technology and communication to create a seamless, efficient, and positive journey for the end user.</w:t>
      </w:r>
    </w:p>
    <w:p w:rsidR="00000000" w:rsidDel="00000000" w:rsidP="00000000" w:rsidRDefault="00000000" w:rsidRPr="00000000" w14:paraId="00000003">
      <w:pPr>
        <w:rPr>
          <w:rFonts w:ascii="Arial" w:cs="Arial" w:eastAsia="Arial" w:hAnsi="Arial"/>
          <w:sz w:val="20"/>
          <w:szCs w:val="20"/>
        </w:rPr>
      </w:pPr>
      <w:r w:rsidDel="00000000" w:rsidR="00000000" w:rsidRPr="00000000">
        <w:rPr>
          <w:rFonts w:ascii="Arial" w:cs="Arial" w:eastAsia="Arial" w:hAnsi="Arial"/>
          <w:sz w:val="20"/>
          <w:szCs w:val="20"/>
          <w:rtl w:val="0"/>
        </w:rPr>
        <w:t xml:space="preserve">This award recognises communication providers and software developers who go beyond basic service delivery to offer a truly "customer-first" environment. It highlights the shift from simply providing a connection to managing the entire lifecycle of a customer relationship through innovation and empathy.</w:t>
      </w:r>
      <w:r w:rsidDel="00000000" w:rsidR="00000000" w:rsidRPr="00000000">
        <w:rPr>
          <w:rtl w:val="0"/>
        </w:rPr>
      </w:r>
    </w:p>
    <w:p w:rsidR="00000000" w:rsidDel="00000000" w:rsidP="00000000" w:rsidRDefault="00000000" w:rsidRPr="00000000" w14:paraId="00000004">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written self-assessments need to demonstrate superiority across 4 dimensions:</w:t>
      </w:r>
    </w:p>
    <w:p w:rsidR="00000000" w:rsidDel="00000000" w:rsidP="00000000" w:rsidRDefault="00000000" w:rsidRPr="00000000" w14:paraId="00000005">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Strategic Intent &amp; Problem Solving</w:t>
      </w:r>
    </w:p>
    <w:p w:rsidR="00000000" w:rsidDel="00000000" w:rsidP="00000000" w:rsidRDefault="00000000" w:rsidRPr="00000000" w14:paraId="00000006">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Technical Innovation &amp; Execution</w:t>
      </w:r>
    </w:p>
    <w:p w:rsidR="00000000" w:rsidDel="00000000" w:rsidP="00000000" w:rsidRDefault="00000000" w:rsidRPr="00000000" w14:paraId="00000007">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 Human Element &amp; Culture</w:t>
      </w:r>
    </w:p>
    <w:p w:rsidR="00000000" w:rsidDel="00000000" w:rsidP="00000000" w:rsidRDefault="00000000" w:rsidRPr="00000000" w14:paraId="00000008">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Case Study</w:t>
      </w:r>
    </w:p>
    <w:p w:rsidR="00000000" w:rsidDel="00000000" w:rsidP="00000000" w:rsidRDefault="00000000" w:rsidRPr="00000000" w14:paraId="00000009">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Please fill out this written self-assessment form (keep the document size to no more than four pages of A4 - minimum size font: Arial 10) and send to </w:t>
      </w:r>
      <w:hyperlink r:id="rId7">
        <w:r w:rsidDel="00000000" w:rsidR="00000000" w:rsidRPr="00000000">
          <w:rPr>
            <w:rFonts w:ascii="Arial" w:cs="Arial" w:eastAsia="Arial" w:hAnsi="Arial"/>
            <w:b w:val="1"/>
            <w:bCs w:val="1"/>
            <w:color w:val="0563c1"/>
            <w:sz w:val="20"/>
            <w:szCs w:val="20"/>
            <w:u w:val="single"/>
            <w:rtl w:val="0"/>
          </w:rPr>
          <w:t xml:space="preserve">team@commscouncil.uk</w:t>
        </w:r>
      </w:hyperlink>
      <w:r w:rsidDel="00000000" w:rsidR="00000000" w:rsidRPr="00000000">
        <w:rPr>
          <w:rFonts w:ascii="Arial" w:cs="Arial" w:eastAsia="Arial" w:hAnsi="Arial"/>
          <w:b w:val="1"/>
          <w:bCs w:val="1"/>
          <w:color w:val="393939"/>
          <w:sz w:val="20"/>
          <w:szCs w:val="20"/>
          <w:rtl w:val="0"/>
        </w:rPr>
        <w:t xml:space="preserve"> by end of play on 31st March 2026.</w:t>
      </w:r>
    </w:p>
    <w:p w:rsidR="00000000" w:rsidDel="00000000" w:rsidP="00000000" w:rsidRDefault="00000000" w:rsidRPr="00000000" w14:paraId="0000000A">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1d1c1d"/>
          <w:sz w:val="20"/>
          <w:szCs w:val="20"/>
          <w:highlight w:val="white"/>
          <w:rtl w:val="0"/>
        </w:rPr>
        <w:t xml:space="preserve">Entrants are also welcome to send a short video (2 mins max) to showcase the company and outline the reasons (that have been documented in the written entry) as to why you should be considered as the best provider in this category.</w:t>
      </w:r>
      <w:r w:rsidDel="00000000" w:rsidR="00000000" w:rsidRPr="00000000">
        <w:rPr>
          <w:rtl w:val="0"/>
        </w:rPr>
      </w:r>
    </w:p>
    <w:p w:rsidR="00000000" w:rsidDel="00000000" w:rsidP="00000000" w:rsidRDefault="00000000" w:rsidRPr="00000000" w14:paraId="0000000B">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Additional supporting documents can be supplied via email, including testimonials, relevant data or evidence that shows customer take up. Please limit these to 2 additional pieces of evidence.</w:t>
      </w:r>
    </w:p>
    <w:p w:rsidR="00000000" w:rsidDel="00000000" w:rsidP="00000000" w:rsidRDefault="00000000" w:rsidRPr="00000000" w14:paraId="0000000C">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State the name of your company and the product/service you are entering</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D">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E">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Strategic Intent &amp; Problem Solving (20%)</w:t>
      </w:r>
    </w:p>
    <w:p w:rsidR="00000000" w:rsidDel="00000000" w:rsidP="00000000" w:rsidRDefault="00000000" w:rsidRPr="00000000" w14:paraId="0000000F">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What was the specific friction point? Rather than saying "we wanted to improve CX," identify the exact pain point. Was it high wait times, fragmented communication channels, or a lack of transparency in billing?</w:t>
      </w:r>
    </w:p>
    <w:sdt>
      <w:sdtPr>
        <w:lock w:val="contentLocked"/>
        <w:id w:val="1502478367"/>
        <w:tag w:val="goog_rdk_0"/>
      </w:sdtPr>
      <w:sdtContent>
        <w:tbl>
          <w:tblPr>
            <w:tblStyle w:val="Table2"/>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014">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sz w:val="20"/>
          <w:szCs w:val="20"/>
          <w:rtl w:val="0"/>
        </w:rPr>
        <w:t xml:space="preserve">How does this align with your broader business goals? How did improving the customer experience directly contribute to your 2025/2026 commercial objectives?</w:t>
      </w:r>
      <w:r w:rsidDel="00000000" w:rsidR="00000000" w:rsidRPr="00000000">
        <w:rPr>
          <w:rtl w:val="0"/>
        </w:rPr>
      </w:r>
    </w:p>
    <w:sdt>
      <w:sdtPr>
        <w:lock w:val="contentLocked"/>
        <w:id w:val="2116850759"/>
        <w:tag w:val="goog_rdk_1"/>
      </w:sdtPr>
      <w:sdtContent>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color w:val="ed7d31"/>
                    <w:sz w:val="20"/>
                    <w:szCs w:val="20"/>
                  </w:rPr>
                </w:pPr>
                <w:r w:rsidDel="00000000" w:rsidR="00000000" w:rsidRPr="00000000">
                  <w:rPr>
                    <w:rtl w:val="0"/>
                  </w:rPr>
                </w:r>
              </w:p>
            </w:tc>
          </w:tr>
        </w:tbl>
      </w:sdtContent>
    </w:sdt>
    <w:p w:rsidR="00000000" w:rsidDel="00000000" w:rsidP="00000000" w:rsidRDefault="00000000" w:rsidRPr="00000000" w14:paraId="0000001B">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Which specific risks (e.g., CLI spoofing, AI-fraud, DDoS, Internal Security) does this solution address, and why was this a priority for your business or clients in the last 12 months? </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C">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0">
      <w:pPr>
        <w:spacing w:after="280" w:before="280" w:lineRule="auto"/>
        <w:ind w:left="0" w:firstLine="0"/>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Technical Innovation &amp; Execution (30%)</w:t>
      </w:r>
    </w:p>
    <w:p w:rsidR="00000000" w:rsidDel="00000000" w:rsidP="00000000" w:rsidRDefault="00000000" w:rsidRPr="00000000" w14:paraId="00000021">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How was "Omnichannel" actually achieved? Can a customer start a conversation on a web chat, move to a voice call, and finish via SMS without repeating their problem?</w:t>
      </w:r>
    </w:p>
    <w:sdt>
      <w:sdtPr>
        <w:lock w:val="contentLocked"/>
        <w:id w:val="281452539"/>
        <w:tag w:val="goog_rdk_2"/>
      </w:sdtPr>
      <w:sdtContent>
        <w:tbl>
          <w:tblPr>
            <w:tblStyle w:val="Table5"/>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029">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Where does AI fit in? If you used AI or automation, how did it improve the experience rather than just cutting costs? (e.g., "Our AI handles 40% of tier-1 queries, allowing our human agents to spend 3x more time on complex technical issues.")</w:t>
      </w:r>
    </w:p>
    <w:sdt>
      <w:sdtPr>
        <w:lock w:val="contentLocked"/>
        <w:id w:val="1725611048"/>
        <w:tag w:val="goog_rdk_3"/>
      </w:sdtPr>
      <w:sdtContent>
        <w:tbl>
          <w:tblPr>
            <w:tblStyle w:val="Table6"/>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02F">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How effectively does this solution bring together UC &amp; CC to provide seamless front office &amp; back office collaboration &amp; customer experience</w:t>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4">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5">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The Human Element &amp; Culture (20%)</w:t>
      </w:r>
    </w:p>
    <w:p w:rsidR="00000000" w:rsidDel="00000000" w:rsidP="00000000" w:rsidRDefault="00000000" w:rsidRPr="00000000" w14:paraId="00000036">
      <w:pPr>
        <w:spacing w:after="280" w:before="28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How are your frontline staff empowered? What tools or training did you provide to your support teams to ensure they could deliver on your CX promise?</w:t>
      </w:r>
    </w:p>
    <w:sdt>
      <w:sdtPr>
        <w:lock w:val="contentLocked"/>
        <w:id w:val="207875162"/>
        <w:tag w:val="goog_rdk_4"/>
      </w:sdtPr>
      <w:sdtContent>
        <w:tbl>
          <w:tblPr>
            <w:tblStyle w:val="Table8"/>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03E">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sz w:val="20"/>
          <w:szCs w:val="20"/>
          <w:rtl w:val="0"/>
        </w:rPr>
        <w:t xml:space="preserve">How do you capture the "Voice of the Customer"? Do you have a closed-loop feedback system where customer suggestions are actually funneled back into product development?</w:t>
      </w:r>
      <w:r w:rsidDel="00000000" w:rsidR="00000000" w:rsidRPr="00000000">
        <w:rPr>
          <w:rtl w:val="0"/>
        </w:rPr>
      </w:r>
    </w:p>
    <w:tbl>
      <w:tblPr>
        <w:tblStyle w:val="Table9"/>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3F">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3">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44">
      <w:pPr>
        <w:spacing w:after="0" w:lineRule="auto"/>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45">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Case Study (30%)</w:t>
      </w:r>
    </w:p>
    <w:p w:rsidR="00000000" w:rsidDel="00000000" w:rsidP="00000000" w:rsidRDefault="00000000" w:rsidRPr="00000000" w14:paraId="00000046">
      <w:pPr>
        <w:spacing w:after="280" w:before="280" w:lineRule="auto"/>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 detailed "real-world" example of a specific challenge your business faced and how your CX initiative successfully resolved it.</w:t>
      </w:r>
    </w:p>
    <w:p w:rsidR="00000000" w:rsidDel="00000000" w:rsidP="00000000" w:rsidRDefault="00000000" w:rsidRPr="00000000" w14:paraId="00000047">
      <w:pPr>
        <w:spacing w:after="0" w:lineRule="auto"/>
        <w:rPr>
          <w:rFonts w:ascii="Arial" w:cs="Arial" w:eastAsia="Arial" w:hAnsi="Arial"/>
          <w:sz w:val="20"/>
          <w:szCs w:val="20"/>
        </w:rPr>
      </w:pPr>
      <w:r w:rsidDel="00000000" w:rsidR="00000000" w:rsidRPr="00000000">
        <w:rPr>
          <w:rtl w:val="0"/>
        </w:rPr>
      </w:r>
    </w:p>
    <w:tbl>
      <w:tblPr>
        <w:tblStyle w:val="Table10"/>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48">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5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5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5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2903719" cy="1227631"/>
          <wp:effectExtent b="0" l="0" r="0" t="0"/>
          <wp:docPr descr="A picture containing background pattern&#10;&#10;Description automatically generated" id="5" name="image1.png"/>
          <a:graphic>
            <a:graphicData uri="http://schemas.openxmlformats.org/drawingml/2006/picture">
              <pic:pic>
                <pic:nvPicPr>
                  <pic:cNvPr descr="A picture containing background pattern&#10;&#10;Description automatically generated" id="0" name="image1.png"/>
                  <pic:cNvPicPr preferRelativeResize="0"/>
                </pic:nvPicPr>
                <pic:blipFill>
                  <a:blip r:embed="rId1"/>
                  <a:srcRect b="0" l="0" r="0" t="0"/>
                  <a:stretch>
                    <a:fillRect/>
                  </a:stretch>
                </pic:blipFill>
                <pic:spPr>
                  <a:xfrm>
                    <a:off x="0" y="0"/>
                    <a:ext cx="2903719" cy="1227631"/>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color w:val="ed7d31"/>
        <w:sz w:val="44"/>
        <w:szCs w:val="44"/>
        <w:rtl w:val="0"/>
      </w:rPr>
      <w:t xml:space="preserve">Best CX Experience</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am@commscouncil.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LT/rSi6I7q7NKZ7XuXqvcFYug==">CgMxLjAaHwoBMBIaChgICVIUChJ0YWJsZS40NDdmMmd1NzUzemYaHwoBMRIaChgICVIUChJ0YWJsZS43endiOTV0aG8zOGMaHwoBMhIaChgICVIUChJ0YWJsZS45ZHJkNjd1a3FwN3AaHwoBMxIaChgICVIUChJ0YWJsZS4xZjJoNHhpMTRtZTIaHwoBNBIaChgICVIUChJ0YWJsZS44eTduZ2c0bHhydHM4AHIhMTFqLXhOcWtKSkR3V191UjMxYUxqbzhQSXhBQXYteE0x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42</vt:lpwstr>
  </property>
  <property fmtid="{D5CDD505-2E9C-101B-9397-08002B2CF9AE}" pid="3" name="ContentTypeId">
    <vt:lpwstr>0x010100970D9F013F990D43BFE8B1D801A539FC</vt:lpwstr>
  </property>
</Properties>
</file>