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This award recognises companies that have successfully integrated Artificial Intelligence (Generative AI, Predictive AI, or Agentic AI) into their communication services. Judges are looking for solutions that move beyond "AI for the sake of AI" and instead deliver tangible, high-value outcomes for businesses or end-users.</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written self-assessments need to demonstrate superiority across 4 dimensions:</w:t>
      </w:r>
    </w:p>
    <w:p w:rsidR="00000000" w:rsidDel="00000000" w:rsidP="00000000" w:rsidRDefault="00000000" w:rsidRPr="00000000" w14:paraId="00000004">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AI Strategy &amp; Innovation</w:t>
      </w:r>
    </w:p>
    <w:p w:rsidR="00000000" w:rsidDel="00000000" w:rsidP="00000000" w:rsidRDefault="00000000" w:rsidRPr="00000000" w14:paraId="0000000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Implementation &amp; Technical Excellence</w:t>
      </w:r>
    </w:p>
    <w:p w:rsidR="00000000" w:rsidDel="00000000" w:rsidP="00000000" w:rsidRDefault="00000000" w:rsidRPr="00000000" w14:paraId="0000000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Measurable Impact &amp; Value</w:t>
      </w:r>
    </w:p>
    <w:p w:rsidR="00000000" w:rsidDel="00000000" w:rsidP="00000000" w:rsidRDefault="00000000" w:rsidRPr="00000000" w14:paraId="00000007">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"Future-Proof" Case Study</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the company and outline the reasons (that have been documented in the written entry) as to why you should be considered as the best provider in this category.</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The AI Strategy &amp; Innovation (30%)</w:t>
      </w:r>
    </w:p>
    <w:p w:rsidR="00000000" w:rsidDel="00000000" w:rsidP="00000000" w:rsidRDefault="00000000" w:rsidRPr="00000000" w14:paraId="0000000E">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AI Problem Statement: What specific challenge did you use AI to solve? (e.g., automating complex network routing, real-time multilingual translation, or personalised customer engagement).</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6">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sz w:val="20"/>
          <w:szCs w:val="20"/>
          <w:rtl w:val="0"/>
        </w:rPr>
        <w:t xml:space="preserve">The "Intelligence" Factor: Describe the AI model or architecture used. How does your solution go beyond basic automation to demonstrate true machine learning or autonomous decision-making?</w:t>
      </w:r>
      <w:r w:rsidDel="00000000" w:rsidR="00000000" w:rsidRPr="00000000">
        <w:rPr>
          <w:rtl w:val="0"/>
        </w:rPr>
      </w:r>
    </w:p>
    <w:sdt>
      <w:sdtPr>
        <w:lock w:val="contentLocked"/>
        <w:id w:val="1308367612"/>
        <w:tag w:val="goog_rdk_0"/>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tc>
          </w:tr>
        </w:tbl>
      </w:sdtContent>
    </w:sdt>
    <w:p w:rsidR="00000000" w:rsidDel="00000000" w:rsidP="00000000" w:rsidRDefault="00000000" w:rsidRPr="00000000" w14:paraId="0000001C">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Implementation &amp; Technical Excellence (30%)</w:t>
      </w:r>
    </w:p>
    <w:p w:rsidR="00000000" w:rsidDel="00000000" w:rsidP="00000000" w:rsidRDefault="00000000" w:rsidRPr="00000000" w14:paraId="0000001D">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Integration: How was the AI integrated into your existing comms stack? Detail how you handled data ingestion, model training, and real-time processing without compromising latency or call quality.</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1">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sz w:val="20"/>
          <w:szCs w:val="20"/>
          <w:rtl w:val="0"/>
        </w:rPr>
        <w:t xml:space="preserve">Governance &amp; Ethics: How have you addressed AI bias, data privacy, and the "Black Box" problem (explainability)? How does your solution align with the UK's 2026 AI regulatory landscape?</w:t>
      </w:r>
      <w:r w:rsidDel="00000000" w:rsidR="00000000" w:rsidRPr="00000000">
        <w:rPr>
          <w:rtl w:val="0"/>
        </w:rPr>
      </w:r>
    </w:p>
    <w:sdt>
      <w:sdtPr>
        <w:lock w:val="contentLocked"/>
        <w:id w:val="1390344107"/>
        <w:tag w:val="goog_rdk_1"/>
      </w:sdtPr>
      <w:sdtContent>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tc>
          </w:tr>
        </w:tbl>
      </w:sdtContent>
    </w:sdt>
    <w:p w:rsidR="00000000" w:rsidDel="00000000" w:rsidP="00000000" w:rsidRDefault="00000000" w:rsidRPr="00000000" w14:paraId="00000027">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Measurable Impact &amp; Value (20%)</w:t>
      </w:r>
    </w:p>
    <w:p w:rsidR="00000000" w:rsidDel="00000000" w:rsidP="00000000" w:rsidRDefault="00000000" w:rsidRPr="00000000" w14:paraId="00000028">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Efficiency Gains: Provide data on how AI has optimised operations. (e.g., "AI-driven predictive maintenance reduced network downtime by 22%").</w:t>
      </w:r>
    </w:p>
    <w:p w:rsidR="00000000" w:rsidDel="00000000" w:rsidP="00000000" w:rsidRDefault="00000000" w:rsidRPr="00000000" w14:paraId="00000029">
      <w:pPr>
        <w:spacing w:after="280" w:before="280" w:lineRule="auto"/>
        <w:ind w:left="0" w:firstLine="0"/>
        <w:rPr>
          <w:rFonts w:ascii="Arial" w:cs="Arial" w:eastAsia="Arial" w:hAnsi="Arial"/>
          <w:b w:val="1"/>
          <w:bCs w:val="1"/>
          <w:color w:val="ed7d31"/>
          <w:sz w:val="20"/>
          <w:szCs w:val="20"/>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F">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Value Creation: How has this improved the bottom line for your company or your clients? Include metrics like ROI, cost-to-serve reduction, or new revenue streams generated by AI features.</w:t>
      </w:r>
    </w:p>
    <w:sdt>
      <w:sdtPr>
        <w:lock w:val="contentLocked"/>
        <w:id w:val="415412646"/>
        <w:tag w:val="goog_rdk_2"/>
      </w:sdtPr>
      <w:sdtContent>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39">
      <w:pPr>
        <w:spacing w:after="0" w:line="276"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The "Future-Proof" Case Study</w:t>
      </w:r>
      <w:r w:rsidDel="00000000" w:rsidR="00000000" w:rsidRPr="00000000">
        <w:rPr>
          <w:rFonts w:ascii="Arial" w:cs="Arial" w:eastAsia="Arial" w:hAnsi="Arial"/>
          <w:color w:val="ed7d31"/>
          <w:sz w:val="20"/>
          <w:szCs w:val="20"/>
          <w:rtl w:val="0"/>
        </w:rPr>
        <w:t xml:space="preserve"> </w:t>
      </w:r>
      <w:r w:rsidDel="00000000" w:rsidR="00000000" w:rsidRPr="00000000">
        <w:rPr>
          <w:rFonts w:ascii="Arial" w:cs="Arial" w:eastAsia="Arial" w:hAnsi="Arial"/>
          <w:b w:val="1"/>
          <w:bCs w:val="1"/>
          <w:color w:val="ed7d31"/>
          <w:sz w:val="20"/>
          <w:szCs w:val="20"/>
          <w:rtl w:val="0"/>
        </w:rPr>
        <w:t xml:space="preserve">(20%)</w:t>
      </w:r>
    </w:p>
    <w:p w:rsidR="00000000" w:rsidDel="00000000" w:rsidP="00000000" w:rsidRDefault="00000000" w:rsidRPr="00000000" w14:paraId="0000003B">
      <w:pPr>
        <w:spacing w:after="0" w:line="276"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b w:val="1"/>
          <w:bCs w:val="1"/>
          <w:color w:val="ed7d31"/>
          <w:sz w:val="20"/>
          <w:szCs w:val="20"/>
        </w:rPr>
      </w:pPr>
      <w:r w:rsidDel="00000000" w:rsidR="00000000" w:rsidRPr="00000000">
        <w:rPr>
          <w:rFonts w:ascii="Arial" w:cs="Arial" w:eastAsia="Arial" w:hAnsi="Arial"/>
          <w:color w:val="222222"/>
          <w:sz w:val="20"/>
          <w:szCs w:val="20"/>
          <w:rtl w:val="0"/>
        </w:rPr>
        <w:t xml:space="preserve">Describe a specific real-world deployment where your AI solution delivered a "Wow" moment. How did the AI adapt to an unexpected scenario or provide an insight that a human or legacy system would have missed?</w:t>
      </w: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903719" cy="1227631"/>
          <wp:effectExtent b="0" l="0" r="0" t="0"/>
          <wp:docPr descr="A picture containing background pattern&#10;&#10;Description automatically generated" id="5"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903719" cy="1227631"/>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color w:val="ed7d31"/>
        <w:sz w:val="44"/>
        <w:szCs w:val="44"/>
        <w:rtl w:val="0"/>
      </w:rPr>
      <w:t xml:space="preserve">Best AI-Powered Communications</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FuRGy5Hoe0srmajObGVqqevpg==">CgMxLjAaHwoBMBIaChgICVIUChJ0YWJsZS41YWhjdG5lZmpocDMaHwoBMRIaChgICVIUChJ0YWJsZS42a2wxeGdnZXV0cnIaHwoBMhIaChgICVIUChJ0YWJsZS40MGViemZxbTU0dnQ4AHIhMVhPaklRWnYzWFJxaHNYdl82U2ZtNkV2YUYyUHNXNUpt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